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59A0" w14:textId="77777777" w:rsidR="001729C1" w:rsidRDefault="001729C1" w:rsidP="001729C1">
      <w:pPr>
        <w:jc w:val="center"/>
        <w:rPr>
          <w:rFonts w:ascii="Calibri" w:hAnsi="Calibri" w:cs="Calibri"/>
          <w:b/>
          <w:bCs/>
          <w:sz w:val="22"/>
          <w:szCs w:val="22"/>
        </w:rPr>
      </w:pPr>
      <w:r w:rsidRPr="000A3451">
        <w:rPr>
          <w:rFonts w:ascii="Calibri" w:hAnsi="Calibri" w:cs="Calibri"/>
          <w:b/>
          <w:bCs/>
          <w:sz w:val="22"/>
          <w:szCs w:val="22"/>
        </w:rPr>
        <w:t>Barrages hydroélectriques : la Proposition de loi qui affaiblit le contrôle public sur ces installations stratégiques</w:t>
      </w:r>
    </w:p>
    <w:p w14:paraId="50A629C4" w14:textId="36FC90AC" w:rsidR="000A3451" w:rsidRPr="000A3451" w:rsidRDefault="000A3451" w:rsidP="001729C1">
      <w:pPr>
        <w:jc w:val="center"/>
        <w:rPr>
          <w:rFonts w:ascii="Calibri" w:hAnsi="Calibri" w:cs="Calibri"/>
          <w:i/>
          <w:iCs/>
          <w:sz w:val="22"/>
          <w:szCs w:val="22"/>
        </w:rPr>
      </w:pPr>
      <w:r w:rsidRPr="000A3451">
        <w:rPr>
          <w:rFonts w:ascii="Calibri" w:hAnsi="Calibri" w:cs="Calibri"/>
          <w:i/>
          <w:iCs/>
          <w:sz w:val="22"/>
          <w:szCs w:val="22"/>
        </w:rPr>
        <w:t>Déclaration SUD-Energie, CSE R&amp;D du 19/02/2026</w:t>
      </w:r>
    </w:p>
    <w:p w14:paraId="505A10D5" w14:textId="49DADBED" w:rsidR="001729C1" w:rsidRPr="000A3451" w:rsidRDefault="001729C1" w:rsidP="001729C1">
      <w:pPr>
        <w:jc w:val="both"/>
        <w:rPr>
          <w:rFonts w:ascii="Calibri" w:hAnsi="Calibri" w:cs="Calibri"/>
          <w:sz w:val="22"/>
          <w:szCs w:val="22"/>
        </w:rPr>
      </w:pPr>
      <w:r w:rsidRPr="000A3451">
        <w:rPr>
          <w:rFonts w:ascii="Calibri" w:hAnsi="Calibri" w:cs="Calibri"/>
          <w:sz w:val="22"/>
          <w:szCs w:val="22"/>
        </w:rPr>
        <w:t xml:space="preserve">La Proposition de loi sur les barrages a été votée à l’Assemblée </w:t>
      </w:r>
      <w:r w:rsidR="000A3451" w:rsidRPr="000A3451">
        <w:rPr>
          <w:rFonts w:ascii="Calibri" w:hAnsi="Calibri" w:cs="Calibri"/>
          <w:sz w:val="22"/>
          <w:szCs w:val="22"/>
        </w:rPr>
        <w:t>nationale</w:t>
      </w:r>
      <w:r w:rsidRPr="000A3451">
        <w:rPr>
          <w:rFonts w:ascii="Calibri" w:hAnsi="Calibri" w:cs="Calibri"/>
          <w:sz w:val="22"/>
          <w:szCs w:val="22"/>
        </w:rPr>
        <w:t xml:space="preserve"> et sera prochainement examinée au Sénat, dans une procédure accélérée.</w:t>
      </w:r>
    </w:p>
    <w:p w14:paraId="477DF4A1" w14:textId="2F1B5DFF" w:rsidR="001729C1" w:rsidRPr="000A3451" w:rsidRDefault="001729C1" w:rsidP="001729C1">
      <w:pPr>
        <w:jc w:val="both"/>
        <w:rPr>
          <w:rFonts w:ascii="Calibri" w:hAnsi="Calibri" w:cs="Calibri"/>
          <w:sz w:val="22"/>
          <w:szCs w:val="22"/>
        </w:rPr>
      </w:pPr>
      <w:r w:rsidRPr="000A3451">
        <w:rPr>
          <w:rFonts w:ascii="Calibri" w:hAnsi="Calibri" w:cs="Calibri"/>
          <w:sz w:val="22"/>
          <w:szCs w:val="22"/>
        </w:rPr>
        <w:t>Sous couvert de relancer l’investissement, elle acte d’un affaiblissement du contrôle public sur ce secteur stratégique, affaiblissement clairement reconnu par le texte, tout en ne permettant même pas la relance des investissements qui continueront à être handicapés par une fragilité juridique reconnue par les juristes et surtout par l’absence de modèle économique.</w:t>
      </w:r>
    </w:p>
    <w:p w14:paraId="22119DBE" w14:textId="38869AFC" w:rsidR="001729C1" w:rsidRPr="000A3451" w:rsidRDefault="001729C1" w:rsidP="001729C1">
      <w:pPr>
        <w:jc w:val="both"/>
        <w:rPr>
          <w:rFonts w:ascii="Calibri" w:hAnsi="Calibri" w:cs="Calibri"/>
          <w:sz w:val="22"/>
          <w:szCs w:val="22"/>
        </w:rPr>
      </w:pPr>
      <w:r w:rsidRPr="000A3451">
        <w:rPr>
          <w:rFonts w:ascii="Calibri" w:hAnsi="Calibri" w:cs="Calibri"/>
          <w:sz w:val="22"/>
          <w:szCs w:val="22"/>
        </w:rPr>
        <w:t>Ainsi, Jean-Bernard Lévy indiquait en 2020, dans l’Usine Nouvelle [« </w:t>
      </w:r>
      <w:r w:rsidRPr="000A3451">
        <w:rPr>
          <w:rFonts w:ascii="Calibri" w:hAnsi="Calibri" w:cs="Calibri"/>
          <w:i/>
          <w:iCs/>
          <w:sz w:val="22"/>
          <w:szCs w:val="22"/>
        </w:rPr>
        <w:t xml:space="preserve">Un investissement de 400 millions d'euros pour un ouvrage hydroélectrique comme pour la nouvelle centrale enterrée de Romanche </w:t>
      </w:r>
      <w:proofErr w:type="spellStart"/>
      <w:r w:rsidRPr="000A3451">
        <w:rPr>
          <w:rFonts w:ascii="Calibri" w:hAnsi="Calibri" w:cs="Calibri"/>
          <w:i/>
          <w:iCs/>
          <w:sz w:val="22"/>
          <w:szCs w:val="22"/>
        </w:rPr>
        <w:t>Gavet</w:t>
      </w:r>
      <w:proofErr w:type="spellEnd"/>
      <w:r w:rsidRPr="000A3451">
        <w:rPr>
          <w:rFonts w:ascii="Calibri" w:hAnsi="Calibri" w:cs="Calibri"/>
          <w:i/>
          <w:iCs/>
          <w:sz w:val="22"/>
          <w:szCs w:val="22"/>
        </w:rPr>
        <w:t xml:space="preserve"> serait aujourd'hui impossible à financer […]</w:t>
      </w:r>
      <w:bookmarkStart w:id="0" w:name="m_6011944142741158003__Hlk78623325"/>
      <w:r w:rsidRPr="000A3451">
        <w:rPr>
          <w:rFonts w:ascii="Calibri" w:hAnsi="Calibri" w:cs="Calibri"/>
          <w:i/>
          <w:iCs/>
          <w:sz w:val="22"/>
          <w:szCs w:val="22"/>
        </w:rPr>
        <w:t>. Faute d’instauration d’un mécanisme de soutien, à l’image de ceux appliqués aux énergies renouvelables, le potentiel de plusieurs gigawatts d’hydraulique en France, dont 2,5 gigawatts inscrits dans la programmation pluriannuelle de l’énergie, ne pourra pas être exploité</w:t>
      </w:r>
      <w:r w:rsidRPr="000A3451">
        <w:rPr>
          <w:rFonts w:ascii="Calibri" w:hAnsi="Calibri" w:cs="Calibri"/>
          <w:sz w:val="22"/>
          <w:szCs w:val="22"/>
        </w:rPr>
        <w:t>. »</w:t>
      </w:r>
      <w:bookmarkEnd w:id="0"/>
      <w:r w:rsidRPr="000A3451">
        <w:rPr>
          <w:rFonts w:ascii="Calibri" w:hAnsi="Calibri" w:cs="Calibri"/>
          <w:sz w:val="22"/>
          <w:szCs w:val="22"/>
          <w:vertAlign w:val="superscript"/>
        </w:rPr>
        <w:t> </w:t>
      </w:r>
      <w:r w:rsidRPr="000A3451">
        <w:rPr>
          <w:rFonts w:ascii="Calibri" w:hAnsi="Calibri" w:cs="Calibri"/>
          <w:sz w:val="22"/>
          <w:szCs w:val="22"/>
        </w:rPr>
        <w:t xml:space="preserve"> Comment peut-on alors prétendre que l’investissement va être relancé, alors que l’hydroélectricité continuera à être vendue à prix de marché, avec en plus des produits dérivés particulièrement complexes. Et s’il l’est, dans quelles conditions financières et avec quels </w:t>
      </w:r>
      <w:proofErr w:type="spellStart"/>
      <w:r w:rsidRPr="000A3451">
        <w:rPr>
          <w:rFonts w:ascii="Calibri" w:hAnsi="Calibri" w:cs="Calibri"/>
          <w:sz w:val="22"/>
          <w:szCs w:val="22"/>
        </w:rPr>
        <w:t>co</w:t>
      </w:r>
      <w:proofErr w:type="spellEnd"/>
      <w:r w:rsidRPr="000A3451">
        <w:rPr>
          <w:rFonts w:ascii="Calibri" w:hAnsi="Calibri" w:cs="Calibri"/>
          <w:sz w:val="22"/>
          <w:szCs w:val="22"/>
        </w:rPr>
        <w:t>-investisseurs ?</w:t>
      </w:r>
    </w:p>
    <w:p w14:paraId="3769D50E" w14:textId="6312C371" w:rsidR="001729C1" w:rsidRPr="000A3451" w:rsidRDefault="001729C1" w:rsidP="001729C1">
      <w:pPr>
        <w:jc w:val="both"/>
        <w:rPr>
          <w:rFonts w:ascii="Calibri" w:hAnsi="Calibri" w:cs="Calibri"/>
          <w:sz w:val="22"/>
          <w:szCs w:val="22"/>
        </w:rPr>
      </w:pPr>
      <w:r w:rsidRPr="000A3451">
        <w:rPr>
          <w:rFonts w:ascii="Calibri" w:hAnsi="Calibri" w:cs="Calibri"/>
          <w:sz w:val="22"/>
          <w:szCs w:val="22"/>
        </w:rPr>
        <w:t xml:space="preserve">Par ailleurs, l’Etat perd le contrôle de l’investissement dans ce secteur stratégique. Or la rentabilité des ouvrages est très variable, comme le reconnait EDF. Dans un contexte de difficultés financières et de recherche de rentabilité, le risque est donc grand de voir abandonner les investissements jugés insuffisamment rentables, avec notamment des conséquences sur l’emploi. </w:t>
      </w:r>
    </w:p>
    <w:p w14:paraId="04FEE47B" w14:textId="51C4E971" w:rsidR="001729C1" w:rsidRPr="000A3451" w:rsidRDefault="001729C1" w:rsidP="001729C1">
      <w:pPr>
        <w:jc w:val="both"/>
        <w:rPr>
          <w:rFonts w:ascii="Calibri" w:hAnsi="Calibri" w:cs="Calibri"/>
          <w:sz w:val="22"/>
          <w:szCs w:val="22"/>
        </w:rPr>
      </w:pPr>
      <w:r w:rsidRPr="000A3451">
        <w:rPr>
          <w:rFonts w:ascii="Calibri" w:hAnsi="Calibri" w:cs="Calibri"/>
          <w:sz w:val="22"/>
          <w:szCs w:val="22"/>
        </w:rPr>
        <w:t>De plus, cette PPL maintient les rentes privées et ne flèche pas les revenus de l’hydraulique vers le parc français.</w:t>
      </w:r>
    </w:p>
    <w:p w14:paraId="57D78D69" w14:textId="3890F1EE" w:rsidR="001729C1" w:rsidRPr="000A3451" w:rsidRDefault="001729C1" w:rsidP="001729C1">
      <w:pPr>
        <w:jc w:val="both"/>
        <w:rPr>
          <w:rFonts w:ascii="Calibri" w:hAnsi="Calibri" w:cs="Calibri"/>
          <w:sz w:val="22"/>
          <w:szCs w:val="22"/>
        </w:rPr>
      </w:pPr>
      <w:r w:rsidRPr="000A3451">
        <w:rPr>
          <w:rFonts w:ascii="Calibri" w:hAnsi="Calibri" w:cs="Calibri"/>
          <w:sz w:val="22"/>
          <w:szCs w:val="22"/>
        </w:rPr>
        <w:t>Enfin, que dire des débats autour des mécanismes compensatoires inhérents à cette solution, votés par les députés sans même en avoir une description, encore moins une étude d’impact.</w:t>
      </w:r>
    </w:p>
    <w:p w14:paraId="53FC1485" w14:textId="48E37D67" w:rsidR="001729C1" w:rsidRPr="000A3451" w:rsidRDefault="001729C1" w:rsidP="001729C1">
      <w:pPr>
        <w:jc w:val="both"/>
        <w:rPr>
          <w:rFonts w:ascii="Calibri" w:hAnsi="Calibri" w:cs="Calibri"/>
          <w:sz w:val="22"/>
          <w:szCs w:val="22"/>
        </w:rPr>
      </w:pPr>
      <w:r w:rsidRPr="000A3451">
        <w:rPr>
          <w:rFonts w:ascii="Calibri" w:hAnsi="Calibri" w:cs="Calibri"/>
          <w:sz w:val="22"/>
          <w:szCs w:val="22"/>
        </w:rPr>
        <w:t>Toutes ces lacunes et menaces auraient été réglées par la mise en place d’un monopole public de l’</w:t>
      </w:r>
      <w:r w:rsidR="000A3451" w:rsidRPr="000A3451">
        <w:rPr>
          <w:rFonts w:ascii="Calibri" w:hAnsi="Calibri" w:cs="Calibri"/>
          <w:sz w:val="22"/>
          <w:szCs w:val="22"/>
        </w:rPr>
        <w:t>hydroélectricité</w:t>
      </w:r>
      <w:r w:rsidRPr="000A3451">
        <w:rPr>
          <w:rFonts w:ascii="Calibri" w:hAnsi="Calibri" w:cs="Calibri"/>
          <w:sz w:val="22"/>
          <w:szCs w:val="22"/>
        </w:rPr>
        <w:t xml:space="preserve"> en contrat de quasi-régie avec l’Etat, comme le permet la loi sans négociations ni mécanismes compensatoires. Les salariés auraient gardé leur statut et leur emploi, en basculant vers une entreprise publique ayant pour seule mission l’intérêt général. Les travaux transverses auraient pu être maintenus par des contrats, collaborations, projets, labos communs. Nous rappelons à ce sujet qu’EDF R&amp;D travaille par exemple pour et avec Enedis. Quant à la coordination avec le parc nucléaire, régulièrement mise en avant, elle aurait pu être maintenue via une structure </w:t>
      </w:r>
      <w:r w:rsidR="000A3451" w:rsidRPr="000A3451">
        <w:rPr>
          <w:rFonts w:ascii="Calibri" w:hAnsi="Calibri" w:cs="Calibri"/>
          <w:sz w:val="22"/>
          <w:szCs w:val="22"/>
        </w:rPr>
        <w:t>ad ’hoc</w:t>
      </w:r>
      <w:r w:rsidRPr="000A3451">
        <w:rPr>
          <w:rFonts w:ascii="Calibri" w:hAnsi="Calibri" w:cs="Calibri"/>
          <w:sz w:val="22"/>
          <w:szCs w:val="22"/>
        </w:rPr>
        <w:t xml:space="preserve"> de type agrégateur, car rien n’interdit à deux producteurs de se coordonner, d’autant plus quand le seul enjeu est l’intérêt général. </w:t>
      </w:r>
    </w:p>
    <w:p w14:paraId="38CDB7DE" w14:textId="666D2F0C" w:rsidR="001729C1" w:rsidRPr="000A3451" w:rsidRDefault="001729C1" w:rsidP="001729C1">
      <w:pPr>
        <w:jc w:val="both"/>
        <w:rPr>
          <w:rFonts w:ascii="Calibri" w:hAnsi="Calibri" w:cs="Calibri"/>
          <w:sz w:val="22"/>
          <w:szCs w:val="22"/>
        </w:rPr>
      </w:pPr>
      <w:r w:rsidRPr="000A3451">
        <w:rPr>
          <w:rFonts w:ascii="Calibri" w:hAnsi="Calibri" w:cs="Calibri"/>
          <w:sz w:val="22"/>
          <w:szCs w:val="22"/>
        </w:rPr>
        <w:t>Les usagers auraient pu bénéficier d’un tarif réglementé de l’hydro, équitable, stable et bas, et les investissements auraient été grandement facilités par un tel tarif garantissant les revenus et par le caractère public de la quasi-régie.</w:t>
      </w:r>
    </w:p>
    <w:p w14:paraId="343F2BBF" w14:textId="77777777" w:rsidR="001729C1" w:rsidRPr="000A3451" w:rsidRDefault="001729C1" w:rsidP="001729C1">
      <w:pPr>
        <w:jc w:val="both"/>
        <w:rPr>
          <w:rFonts w:ascii="Calibri" w:hAnsi="Calibri" w:cs="Calibri"/>
          <w:sz w:val="22"/>
          <w:szCs w:val="22"/>
        </w:rPr>
      </w:pPr>
    </w:p>
    <w:p w14:paraId="2E9C2616" w14:textId="1A07C968" w:rsidR="001729C1" w:rsidRPr="000A3451" w:rsidRDefault="001729C1" w:rsidP="001729C1">
      <w:pPr>
        <w:jc w:val="both"/>
        <w:rPr>
          <w:rFonts w:ascii="Calibri" w:hAnsi="Calibri" w:cs="Calibri"/>
          <w:sz w:val="22"/>
          <w:szCs w:val="22"/>
        </w:rPr>
      </w:pPr>
      <w:r w:rsidRPr="000A3451">
        <w:rPr>
          <w:rFonts w:ascii="Calibri" w:hAnsi="Calibri" w:cs="Calibri"/>
          <w:sz w:val="22"/>
          <w:szCs w:val="22"/>
        </w:rPr>
        <w:lastRenderedPageBreak/>
        <w:t>Hélas, cette solution a été écartée principalement par EDF et par les organisations syndicales représentatives, comme l’a rappelé à de nombreuses reprises la députée porteuse du projet, Marie-</w:t>
      </w:r>
      <w:r w:rsidR="000A3451" w:rsidRPr="000A3451">
        <w:rPr>
          <w:rFonts w:ascii="Calibri" w:hAnsi="Calibri" w:cs="Calibri"/>
          <w:sz w:val="22"/>
          <w:szCs w:val="22"/>
        </w:rPr>
        <w:t>Noëlle</w:t>
      </w:r>
      <w:r w:rsidRPr="000A3451">
        <w:rPr>
          <w:rFonts w:ascii="Calibri" w:hAnsi="Calibri" w:cs="Calibri"/>
          <w:sz w:val="22"/>
          <w:szCs w:val="22"/>
        </w:rPr>
        <w:t xml:space="preserve"> </w:t>
      </w:r>
      <w:proofErr w:type="spellStart"/>
      <w:r w:rsidRPr="000A3451">
        <w:rPr>
          <w:rFonts w:ascii="Calibri" w:hAnsi="Calibri" w:cs="Calibri"/>
          <w:sz w:val="22"/>
          <w:szCs w:val="22"/>
        </w:rPr>
        <w:t>Battistel</w:t>
      </w:r>
      <w:proofErr w:type="spellEnd"/>
      <w:r w:rsidRPr="000A3451">
        <w:rPr>
          <w:rFonts w:ascii="Calibri" w:hAnsi="Calibri" w:cs="Calibri"/>
          <w:sz w:val="22"/>
          <w:szCs w:val="22"/>
        </w:rPr>
        <w:t>. Certaines, aujourd’hui, semblent prendre leurs distances, mais un peu tard.</w:t>
      </w:r>
    </w:p>
    <w:p w14:paraId="7A0748B2" w14:textId="77777777" w:rsidR="001729C1" w:rsidRPr="000A3451" w:rsidRDefault="001729C1" w:rsidP="001729C1">
      <w:pPr>
        <w:jc w:val="both"/>
        <w:rPr>
          <w:rFonts w:ascii="Calibri" w:hAnsi="Calibri" w:cs="Calibri"/>
          <w:sz w:val="22"/>
          <w:szCs w:val="22"/>
        </w:rPr>
      </w:pPr>
      <w:r w:rsidRPr="000A3451">
        <w:rPr>
          <w:rFonts w:ascii="Calibri" w:hAnsi="Calibri" w:cs="Calibri"/>
          <w:sz w:val="22"/>
          <w:szCs w:val="22"/>
        </w:rPr>
        <w:t xml:space="preserve">Nous le regrettons amèrement. Nous avons produit, avec des experts de différents horizons syndicaux, un rapport détaillant nos arguments, sans jamais recevoir de réponse si ce n’est que « personne ne voulait de la quasi-régie ». </w:t>
      </w:r>
    </w:p>
    <w:p w14:paraId="7A3342E6" w14:textId="4E82CBF6" w:rsidR="001729C1" w:rsidRPr="000A3451" w:rsidRDefault="001729C1" w:rsidP="001729C1">
      <w:pPr>
        <w:jc w:val="both"/>
        <w:rPr>
          <w:rFonts w:ascii="Calibri" w:hAnsi="Calibri" w:cs="Calibri"/>
          <w:sz w:val="22"/>
          <w:szCs w:val="22"/>
        </w:rPr>
      </w:pPr>
      <w:r w:rsidRPr="000A3451">
        <w:rPr>
          <w:rFonts w:ascii="Calibri" w:hAnsi="Calibri" w:cs="Calibri"/>
          <w:sz w:val="22"/>
          <w:szCs w:val="22"/>
        </w:rPr>
        <w:t>Nous resterons mobilisés sur cette question essentielle, très attentifs à l’arrivée potentielle d’investisseurs privés et à la perpétuation de rentes excessives. Nous continuerons à nous battre pour que les revenus de l’hydroélectricité retournent à ses usagers ou aux investissements dans ce secteur essentiel, sans alimenter des rentes privées ou des investissements d’EDF à l’international.</w:t>
      </w:r>
    </w:p>
    <w:p w14:paraId="6EB0B0A4" w14:textId="69FDFE64" w:rsidR="001729C1" w:rsidRPr="000A3451" w:rsidRDefault="001729C1" w:rsidP="001729C1">
      <w:pPr>
        <w:jc w:val="both"/>
        <w:rPr>
          <w:rFonts w:ascii="Calibri" w:hAnsi="Calibri" w:cs="Calibri"/>
          <w:sz w:val="22"/>
          <w:szCs w:val="22"/>
        </w:rPr>
      </w:pPr>
      <w:r w:rsidRPr="000A3451">
        <w:rPr>
          <w:rFonts w:ascii="Calibri" w:hAnsi="Calibri" w:cs="Calibri"/>
          <w:sz w:val="22"/>
          <w:szCs w:val="22"/>
        </w:rPr>
        <w:t xml:space="preserve">Nous continuerons à revendiquer la mise en place de tarifs réglementés basés sur les coûts, pour l’hydroélectricité et plus généralement pour l’ensemble de la production. Soit le contraire de ce que défend notre direction, opposée à l’encadrement des prix du nucléaire historique comme de l’hydroélectricité. </w:t>
      </w:r>
    </w:p>
    <w:p w14:paraId="1B9A6087" w14:textId="35254EA6" w:rsidR="001729C1" w:rsidRPr="000A3451" w:rsidRDefault="001729C1" w:rsidP="001729C1">
      <w:pPr>
        <w:jc w:val="both"/>
        <w:rPr>
          <w:rFonts w:ascii="Calibri" w:hAnsi="Calibri" w:cs="Calibri"/>
          <w:sz w:val="22"/>
          <w:szCs w:val="22"/>
        </w:rPr>
      </w:pPr>
      <w:r w:rsidRPr="000A3451">
        <w:rPr>
          <w:rFonts w:ascii="Calibri" w:hAnsi="Calibri" w:cs="Calibri"/>
          <w:sz w:val="22"/>
          <w:szCs w:val="22"/>
        </w:rPr>
        <w:t>Cette position très pro-marché de notre entreprise porte préjudice aux usagers et fragilise nos investissements alors que les prix de marché sont actuellement inférieurs aux coûts de production.</w:t>
      </w:r>
    </w:p>
    <w:p w14:paraId="1E91D537" w14:textId="77777777" w:rsidR="001729C1" w:rsidRPr="000A3451" w:rsidRDefault="001729C1" w:rsidP="001729C1">
      <w:pPr>
        <w:jc w:val="both"/>
        <w:rPr>
          <w:rFonts w:ascii="Calibri" w:hAnsi="Calibri" w:cs="Calibri"/>
          <w:sz w:val="22"/>
          <w:szCs w:val="22"/>
        </w:rPr>
      </w:pPr>
      <w:r w:rsidRPr="000A3451">
        <w:rPr>
          <w:rFonts w:ascii="Calibri" w:hAnsi="Calibri" w:cs="Calibri"/>
          <w:sz w:val="22"/>
          <w:szCs w:val="22"/>
        </w:rPr>
        <w:t>Plus largement, nous poursuivons notre combat au quotidien pour la mise en place d’un service public de l’électricité débarrassé des logiques marchandes et des appétits privés.</w:t>
      </w:r>
    </w:p>
    <w:sectPr w:rsidR="001729C1" w:rsidRPr="000A3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E22"/>
    <w:multiLevelType w:val="hybridMultilevel"/>
    <w:tmpl w:val="1368FF76"/>
    <w:lvl w:ilvl="0" w:tplc="1B38A19E">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4B34F8"/>
    <w:multiLevelType w:val="hybridMultilevel"/>
    <w:tmpl w:val="9864DE8E"/>
    <w:lvl w:ilvl="0" w:tplc="0032EDDE">
      <w:start w:val="1"/>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37352816">
    <w:abstractNumId w:val="0"/>
  </w:num>
  <w:num w:numId="2" w16cid:durableId="19192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1"/>
    <w:rsid w:val="000A3451"/>
    <w:rsid w:val="001729C1"/>
    <w:rsid w:val="00AF7108"/>
    <w:rsid w:val="00C33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EF25"/>
  <w15:chartTrackingRefBased/>
  <w15:docId w15:val="{AAD5BAC9-B196-480F-A690-7A5EAF64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C1"/>
  </w:style>
  <w:style w:type="paragraph" w:styleId="Titre1">
    <w:name w:val="heading 1"/>
    <w:basedOn w:val="Normal"/>
    <w:next w:val="Normal"/>
    <w:link w:val="Titre1Car"/>
    <w:uiPriority w:val="9"/>
    <w:qFormat/>
    <w:rsid w:val="0017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29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29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29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29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29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29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29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29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29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29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29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29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29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29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29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29C1"/>
    <w:rPr>
      <w:rFonts w:eastAsiaTheme="majorEastAsia" w:cstheme="majorBidi"/>
      <w:color w:val="272727" w:themeColor="text1" w:themeTint="D8"/>
    </w:rPr>
  </w:style>
  <w:style w:type="paragraph" w:styleId="Titre">
    <w:name w:val="Title"/>
    <w:basedOn w:val="Normal"/>
    <w:next w:val="Normal"/>
    <w:link w:val="TitreCar"/>
    <w:uiPriority w:val="10"/>
    <w:qFormat/>
    <w:rsid w:val="0017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29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29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29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29C1"/>
    <w:pPr>
      <w:spacing w:before="160"/>
      <w:jc w:val="center"/>
    </w:pPr>
    <w:rPr>
      <w:i/>
      <w:iCs/>
      <w:color w:val="404040" w:themeColor="text1" w:themeTint="BF"/>
    </w:rPr>
  </w:style>
  <w:style w:type="character" w:customStyle="1" w:styleId="CitationCar">
    <w:name w:val="Citation Car"/>
    <w:basedOn w:val="Policepardfaut"/>
    <w:link w:val="Citation"/>
    <w:uiPriority w:val="29"/>
    <w:rsid w:val="001729C1"/>
    <w:rPr>
      <w:i/>
      <w:iCs/>
      <w:color w:val="404040" w:themeColor="text1" w:themeTint="BF"/>
    </w:rPr>
  </w:style>
  <w:style w:type="paragraph" w:styleId="Paragraphedeliste">
    <w:name w:val="List Paragraph"/>
    <w:basedOn w:val="Normal"/>
    <w:uiPriority w:val="34"/>
    <w:qFormat/>
    <w:rsid w:val="001729C1"/>
    <w:pPr>
      <w:ind w:left="720"/>
      <w:contextualSpacing/>
    </w:pPr>
  </w:style>
  <w:style w:type="character" w:styleId="Accentuationintense">
    <w:name w:val="Intense Emphasis"/>
    <w:basedOn w:val="Policepardfaut"/>
    <w:uiPriority w:val="21"/>
    <w:qFormat/>
    <w:rsid w:val="001729C1"/>
    <w:rPr>
      <w:i/>
      <w:iCs/>
      <w:color w:val="0F4761" w:themeColor="accent1" w:themeShade="BF"/>
    </w:rPr>
  </w:style>
  <w:style w:type="paragraph" w:styleId="Citationintense">
    <w:name w:val="Intense Quote"/>
    <w:basedOn w:val="Normal"/>
    <w:next w:val="Normal"/>
    <w:link w:val="CitationintenseCar"/>
    <w:uiPriority w:val="30"/>
    <w:qFormat/>
    <w:rsid w:val="0017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29C1"/>
    <w:rPr>
      <w:i/>
      <w:iCs/>
      <w:color w:val="0F4761" w:themeColor="accent1" w:themeShade="BF"/>
    </w:rPr>
  </w:style>
  <w:style w:type="character" w:styleId="Rfrenceintense">
    <w:name w:val="Intense Reference"/>
    <w:basedOn w:val="Policepardfaut"/>
    <w:uiPriority w:val="32"/>
    <w:qFormat/>
    <w:rsid w:val="001729C1"/>
    <w:rPr>
      <w:b/>
      <w:bCs/>
      <w:smallCaps/>
      <w:color w:val="0F4761" w:themeColor="accent1" w:themeShade="BF"/>
      <w:spacing w:val="5"/>
    </w:rPr>
  </w:style>
  <w:style w:type="character" w:styleId="Lienhypertexte">
    <w:name w:val="Hyperlink"/>
    <w:basedOn w:val="Policepardfaut"/>
    <w:uiPriority w:val="99"/>
    <w:unhideWhenUsed/>
    <w:rsid w:val="001729C1"/>
    <w:rPr>
      <w:color w:val="467886" w:themeColor="hyperlink"/>
      <w:u w:val="single"/>
    </w:rPr>
  </w:style>
  <w:style w:type="character" w:styleId="Mentionnonrsolue">
    <w:name w:val="Unresolved Mention"/>
    <w:basedOn w:val="Policepardfaut"/>
    <w:uiPriority w:val="99"/>
    <w:semiHidden/>
    <w:unhideWhenUsed/>
    <w:rsid w:val="00172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0145">
      <w:bodyDiv w:val="1"/>
      <w:marLeft w:val="0"/>
      <w:marRight w:val="0"/>
      <w:marTop w:val="0"/>
      <w:marBottom w:val="0"/>
      <w:divBdr>
        <w:top w:val="none" w:sz="0" w:space="0" w:color="auto"/>
        <w:left w:val="none" w:sz="0" w:space="0" w:color="auto"/>
        <w:bottom w:val="none" w:sz="0" w:space="0" w:color="auto"/>
        <w:right w:val="none" w:sz="0" w:space="0" w:color="auto"/>
      </w:divBdr>
    </w:div>
    <w:div w:id="184557650">
      <w:bodyDiv w:val="1"/>
      <w:marLeft w:val="0"/>
      <w:marRight w:val="0"/>
      <w:marTop w:val="0"/>
      <w:marBottom w:val="0"/>
      <w:divBdr>
        <w:top w:val="none" w:sz="0" w:space="0" w:color="auto"/>
        <w:left w:val="none" w:sz="0" w:space="0" w:color="auto"/>
        <w:bottom w:val="none" w:sz="0" w:space="0" w:color="auto"/>
        <w:right w:val="none" w:sz="0" w:space="0" w:color="auto"/>
      </w:divBdr>
    </w:div>
    <w:div w:id="252517836">
      <w:bodyDiv w:val="1"/>
      <w:marLeft w:val="0"/>
      <w:marRight w:val="0"/>
      <w:marTop w:val="0"/>
      <w:marBottom w:val="0"/>
      <w:divBdr>
        <w:top w:val="none" w:sz="0" w:space="0" w:color="auto"/>
        <w:left w:val="none" w:sz="0" w:space="0" w:color="auto"/>
        <w:bottom w:val="none" w:sz="0" w:space="0" w:color="auto"/>
        <w:right w:val="none" w:sz="0" w:space="0" w:color="auto"/>
      </w:divBdr>
    </w:div>
    <w:div w:id="353073002">
      <w:bodyDiv w:val="1"/>
      <w:marLeft w:val="0"/>
      <w:marRight w:val="0"/>
      <w:marTop w:val="0"/>
      <w:marBottom w:val="0"/>
      <w:divBdr>
        <w:top w:val="none" w:sz="0" w:space="0" w:color="auto"/>
        <w:left w:val="none" w:sz="0" w:space="0" w:color="auto"/>
        <w:bottom w:val="none" w:sz="0" w:space="0" w:color="auto"/>
        <w:right w:val="none" w:sz="0" w:space="0" w:color="auto"/>
      </w:divBdr>
    </w:div>
    <w:div w:id="535892761">
      <w:bodyDiv w:val="1"/>
      <w:marLeft w:val="0"/>
      <w:marRight w:val="0"/>
      <w:marTop w:val="0"/>
      <w:marBottom w:val="0"/>
      <w:divBdr>
        <w:top w:val="none" w:sz="0" w:space="0" w:color="auto"/>
        <w:left w:val="none" w:sz="0" w:space="0" w:color="auto"/>
        <w:bottom w:val="none" w:sz="0" w:space="0" w:color="auto"/>
        <w:right w:val="none" w:sz="0" w:space="0" w:color="auto"/>
      </w:divBdr>
    </w:div>
    <w:div w:id="19331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742</Words>
  <Characters>4085</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DEBREGEAS Anne</dc:creator>
  <cp:keywords/>
  <dc:description/>
  <cp:lastModifiedBy>DEBREGEAS Anne</cp:lastModifiedBy>
  <cp:revision>2</cp:revision>
  <dcterms:created xsi:type="dcterms:W3CDTF">2026-02-18T16:03:00Z</dcterms:created>
  <dcterms:modified xsi:type="dcterms:W3CDTF">2026-02-20T08:19:00Z</dcterms:modified>
</cp:coreProperties>
</file>